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jc w:val="center"/>
        <w:rPr>
          <w:rFonts w:hint="eastAsia" w:asciiTheme="majorEastAsia" w:hAnsiTheme="majorEastAsia" w:eastAsiaTheme="majorEastAsia" w:cstheme="majorEastAsia"/>
          <w:sz w:val="52"/>
          <w:szCs w:val="52"/>
        </w:rPr>
      </w:pPr>
      <w:r>
        <w:rPr>
          <w:rFonts w:hint="eastAsia" w:asciiTheme="majorEastAsia" w:hAnsiTheme="majorEastAsia" w:eastAsiaTheme="majorEastAsia" w:cstheme="majorEastAsia"/>
          <w:sz w:val="52"/>
          <w:szCs w:val="52"/>
        </w:rPr>
        <w:t>2021年三亚市海棠区</w:t>
      </w:r>
      <w:r>
        <w:rPr>
          <w:rFonts w:hint="eastAsia" w:asciiTheme="majorEastAsia" w:hAnsiTheme="majorEastAsia" w:eastAsiaTheme="majorEastAsia" w:cstheme="majorEastAsia"/>
          <w:sz w:val="52"/>
          <w:szCs w:val="52"/>
          <w:lang w:eastAsia="zh-CN"/>
        </w:rPr>
        <w:t>藤桥中学</w:t>
      </w:r>
      <w:r>
        <w:rPr>
          <w:rFonts w:hint="eastAsia" w:asciiTheme="majorEastAsia" w:hAnsiTheme="majorEastAsia" w:eastAsiaTheme="majorEastAsia" w:cstheme="majorEastAsia"/>
          <w:sz w:val="52"/>
          <w:szCs w:val="52"/>
        </w:rPr>
        <w:t>（单位）预算</w:t>
      </w:r>
      <w:r>
        <w:rPr>
          <w:rFonts w:hint="eastAsia" w:asciiTheme="majorEastAsia" w:hAnsiTheme="majorEastAsia" w:eastAsiaTheme="majorEastAsia" w:cstheme="majorEastAsia"/>
          <w:sz w:val="52"/>
          <w:szCs w:val="52"/>
          <w:lang w:val="en-US" w:eastAsia="zh-CN"/>
        </w:rPr>
        <w:t xml:space="preserve"> </w:t>
      </w:r>
      <w:bookmarkStart w:id="17" w:name="_GoBack"/>
      <w:bookmarkEnd w:id="17"/>
    </w:p>
    <w:p>
      <w:pPr>
        <w:rPr>
          <w:rFonts w:hint="eastAsia" w:asciiTheme="majorEastAsia" w:hAnsiTheme="majorEastAsia" w:eastAsiaTheme="majorEastAsia" w:cstheme="majorEastAsia"/>
          <w:sz w:val="52"/>
          <w:szCs w:val="52"/>
        </w:rPr>
      </w:pPr>
    </w:p>
    <w:p>
      <w:pPr>
        <w:rPr>
          <w:rFonts w:hint="eastAsia" w:eastAsia="仿宋_GB2312"/>
          <w:sz w:val="32"/>
        </w:rPr>
      </w:pPr>
    </w:p>
    <w:p>
      <w:pPr>
        <w:rPr>
          <w:rFonts w:hint="eastAsia" w:eastAsia="仿宋_GB2312"/>
          <w:sz w:val="32"/>
        </w:rPr>
      </w:pPr>
      <w:r>
        <w:rPr>
          <w:rFonts w:hint="eastAsia" w:eastAsia="仿宋_GB2312"/>
          <w:sz w:val="32"/>
        </w:rPr>
        <w:br w:type="page"/>
      </w:r>
    </w:p>
    <w:p>
      <w:pPr>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黑体" w:hAnsi="黑体" w:eastAsia="黑体" w:cs="黑体"/>
          <w:sz w:val="52"/>
          <w:szCs w:val="52"/>
        </w:rPr>
      </w:pPr>
      <w:r>
        <w:rPr>
          <w:rFonts w:hint="eastAsia" w:ascii="黑体" w:hAnsi="黑体" w:eastAsia="黑体" w:cs="黑体"/>
          <w:sz w:val="52"/>
          <w:szCs w:val="52"/>
        </w:rPr>
        <w:t>目录</w:t>
      </w:r>
    </w:p>
    <w:p>
      <w:pPr>
        <w:pStyle w:val="2"/>
        <w:pageBreakBefore w:val="0"/>
        <w:widowControl w:val="0"/>
        <w:kinsoku/>
        <w:wordWrap/>
        <w:overflowPunct/>
        <w:topLinePunct w:val="0"/>
        <w:autoSpaceDE/>
        <w:autoSpaceDN/>
        <w:bidi w:val="0"/>
        <w:adjustRightInd/>
        <w:snapToGrid/>
        <w:spacing w:before="0" w:beforeLines="0" w:after="0" w:afterLines="0" w:line="240" w:lineRule="auto"/>
        <w:ind w:right="0" w:rightChars="0"/>
        <w:textAlignment w:val="auto"/>
        <w:rPr>
          <w:rFonts w:hint="eastAsia"/>
        </w:rPr>
      </w:pPr>
      <w:r>
        <w:rPr>
          <w:rFonts w:hint="eastAsia"/>
        </w:rPr>
        <w:t>第一部分   三亚市海棠区</w:t>
      </w:r>
      <w:r>
        <w:rPr>
          <w:rFonts w:hint="eastAsia"/>
          <w:lang w:eastAsia="zh-CN"/>
        </w:rPr>
        <w:t>藤桥中学</w:t>
      </w:r>
      <w:r>
        <w:rPr>
          <w:rFonts w:hint="eastAsia"/>
        </w:rPr>
        <w:t>（单位）概况</w:t>
      </w:r>
    </w:p>
    <w:p>
      <w:pPr>
        <w:rPr>
          <w:rFonts w:hint="eastAsia" w:ascii="黑体" w:hAnsi="黑体" w:eastAsia="黑体" w:cs="黑体"/>
          <w:sz w:val="32"/>
        </w:rPr>
      </w:pPr>
      <w:r>
        <w:rPr>
          <w:rFonts w:hint="eastAsia" w:ascii="黑体" w:hAnsi="黑体" w:eastAsia="黑体" w:cs="黑体"/>
          <w:sz w:val="32"/>
        </w:rPr>
        <w:t>一、主要职能</w:t>
      </w:r>
    </w:p>
    <w:p>
      <w:pPr>
        <w:rPr>
          <w:rFonts w:hint="eastAsia" w:ascii="黑体" w:hAnsi="黑体" w:eastAsia="黑体" w:cs="黑体"/>
          <w:sz w:val="32"/>
        </w:rPr>
      </w:pPr>
      <w:r>
        <w:rPr>
          <w:rFonts w:hint="eastAsia" w:ascii="黑体" w:hAnsi="黑体" w:eastAsia="黑体" w:cs="黑体"/>
          <w:sz w:val="32"/>
        </w:rPr>
        <w:t>二、预算单位构成（单位公开没有这部分内容）</w:t>
      </w:r>
    </w:p>
    <w:p>
      <w:pPr>
        <w:pStyle w:val="2"/>
        <w:keepNext/>
        <w:keepLines/>
        <w:pageBreakBefore w:val="0"/>
        <w:widowControl w:val="0"/>
        <w:kinsoku/>
        <w:wordWrap/>
        <w:overflowPunct/>
        <w:topLinePunct w:val="0"/>
        <w:autoSpaceDE/>
        <w:autoSpaceDN/>
        <w:bidi w:val="0"/>
        <w:adjustRightInd/>
        <w:snapToGrid/>
        <w:spacing w:before="0" w:beforeLines="0" w:after="0" w:afterLines="0" w:line="240" w:lineRule="auto"/>
        <w:ind w:left="1320" w:leftChars="0" w:right="0" w:rightChars="0" w:hanging="1320" w:firstLineChars="0"/>
        <w:jc w:val="both"/>
        <w:textAlignment w:val="auto"/>
        <w:outlineLvl w:val="0"/>
        <w:rPr>
          <w:rFonts w:hint="eastAsia" w:ascii="黑体" w:hAnsi="黑体" w:eastAsia="黑体" w:cs="黑体"/>
          <w:sz w:val="32"/>
          <w:szCs w:val="32"/>
        </w:rPr>
      </w:pPr>
      <w:r>
        <w:rPr>
          <w:rFonts w:hint="eastAsia" w:ascii="黑体" w:hAnsi="黑体" w:eastAsia="黑体" w:cs="黑体"/>
          <w:sz w:val="32"/>
          <w:szCs w:val="32"/>
        </w:rPr>
        <w:t>第二部分  三亚市海棠区藤桥中学（单位）2021年</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预算表</w:t>
      </w:r>
    </w:p>
    <w:p>
      <w:pPr>
        <w:keepNext w:val="0"/>
        <w:keepLines w:val="0"/>
        <w:pageBreakBefore w:val="0"/>
        <w:widowControl w:val="0"/>
        <w:kinsoku/>
        <w:wordWrap/>
        <w:overflowPunct/>
        <w:topLinePunct w:val="0"/>
        <w:autoSpaceDE/>
        <w:autoSpaceDN/>
        <w:bidi w:val="0"/>
        <w:adjustRightInd/>
        <w:snapToGrid/>
        <w:spacing w:line="240" w:lineRule="auto"/>
        <w:ind w:left="720" w:leftChars="0" w:right="0" w:rightChars="0" w:hanging="720" w:firstLineChars="0"/>
        <w:jc w:val="both"/>
        <w:textAlignment w:val="auto"/>
        <w:outlineLvl w:val="9"/>
        <w:rPr>
          <w:rFonts w:hint="eastAsia" w:eastAsia="仿宋_GB2312"/>
          <w:sz w:val="32"/>
        </w:rPr>
      </w:pPr>
      <w:r>
        <w:rPr>
          <w:rFonts w:hint="eastAsia" w:eastAsia="仿宋_GB2312"/>
          <w:sz w:val="32"/>
        </w:rPr>
        <w:t>一、财政拨款收支总表</w:t>
      </w:r>
    </w:p>
    <w:p>
      <w:pPr>
        <w:keepNext w:val="0"/>
        <w:keepLines w:val="0"/>
        <w:pageBreakBefore w:val="0"/>
        <w:widowControl w:val="0"/>
        <w:kinsoku/>
        <w:wordWrap/>
        <w:overflowPunct/>
        <w:topLinePunct w:val="0"/>
        <w:autoSpaceDE/>
        <w:autoSpaceDN/>
        <w:bidi w:val="0"/>
        <w:adjustRightInd/>
        <w:snapToGrid/>
        <w:spacing w:line="240" w:lineRule="auto"/>
        <w:ind w:left="720" w:leftChars="0" w:right="0" w:rightChars="0" w:hanging="720" w:firstLineChars="0"/>
        <w:jc w:val="both"/>
        <w:textAlignment w:val="auto"/>
        <w:outlineLvl w:val="9"/>
        <w:rPr>
          <w:rFonts w:hint="eastAsia" w:eastAsia="仿宋_GB2312"/>
          <w:sz w:val="32"/>
        </w:rPr>
      </w:pPr>
      <w:r>
        <w:rPr>
          <w:rFonts w:hint="eastAsia" w:eastAsia="仿宋_GB2312"/>
          <w:sz w:val="32"/>
        </w:rPr>
        <w:t>二、一般公共预算支出表</w:t>
      </w:r>
    </w:p>
    <w:p>
      <w:pPr>
        <w:keepNext w:val="0"/>
        <w:keepLines w:val="0"/>
        <w:pageBreakBefore w:val="0"/>
        <w:widowControl w:val="0"/>
        <w:kinsoku/>
        <w:wordWrap/>
        <w:overflowPunct/>
        <w:topLinePunct w:val="0"/>
        <w:autoSpaceDE/>
        <w:autoSpaceDN/>
        <w:bidi w:val="0"/>
        <w:adjustRightInd/>
        <w:snapToGrid/>
        <w:spacing w:line="240" w:lineRule="auto"/>
        <w:ind w:left="720" w:leftChars="0" w:right="0" w:rightChars="0" w:hanging="720" w:firstLineChars="0"/>
        <w:jc w:val="both"/>
        <w:textAlignment w:val="auto"/>
        <w:outlineLvl w:val="9"/>
        <w:rPr>
          <w:rFonts w:hint="eastAsia" w:eastAsia="仿宋_GB2312"/>
          <w:sz w:val="32"/>
        </w:rPr>
      </w:pPr>
      <w:r>
        <w:rPr>
          <w:rFonts w:hint="eastAsia" w:eastAsia="仿宋_GB2312"/>
          <w:sz w:val="32"/>
        </w:rPr>
        <w:t>三、一般公共预算基本支出表</w:t>
      </w:r>
    </w:p>
    <w:p>
      <w:pPr>
        <w:keepNext w:val="0"/>
        <w:keepLines w:val="0"/>
        <w:pageBreakBefore w:val="0"/>
        <w:widowControl w:val="0"/>
        <w:kinsoku/>
        <w:wordWrap/>
        <w:overflowPunct/>
        <w:topLinePunct w:val="0"/>
        <w:autoSpaceDE/>
        <w:autoSpaceDN/>
        <w:bidi w:val="0"/>
        <w:adjustRightInd/>
        <w:snapToGrid/>
        <w:spacing w:line="240" w:lineRule="auto"/>
        <w:ind w:left="720" w:leftChars="0" w:right="0" w:rightChars="0" w:hanging="720" w:firstLineChars="0"/>
        <w:jc w:val="both"/>
        <w:textAlignment w:val="auto"/>
        <w:outlineLvl w:val="9"/>
        <w:rPr>
          <w:rFonts w:hint="eastAsia" w:eastAsia="仿宋_GB2312"/>
          <w:sz w:val="32"/>
        </w:rPr>
      </w:pPr>
      <w:r>
        <w:rPr>
          <w:rFonts w:hint="eastAsia" w:eastAsia="仿宋_GB2312"/>
          <w:sz w:val="32"/>
        </w:rPr>
        <w:t>四、一般公共预算“三公”经费支出表</w:t>
      </w:r>
    </w:p>
    <w:p>
      <w:pPr>
        <w:keepNext w:val="0"/>
        <w:keepLines w:val="0"/>
        <w:pageBreakBefore w:val="0"/>
        <w:widowControl w:val="0"/>
        <w:kinsoku/>
        <w:wordWrap/>
        <w:overflowPunct/>
        <w:topLinePunct w:val="0"/>
        <w:autoSpaceDE/>
        <w:autoSpaceDN/>
        <w:bidi w:val="0"/>
        <w:adjustRightInd/>
        <w:snapToGrid/>
        <w:spacing w:line="240" w:lineRule="auto"/>
        <w:ind w:left="720" w:leftChars="0" w:right="0" w:rightChars="0" w:hanging="720" w:firstLineChars="0"/>
        <w:jc w:val="both"/>
        <w:textAlignment w:val="auto"/>
        <w:outlineLvl w:val="9"/>
        <w:rPr>
          <w:rFonts w:hint="eastAsia" w:eastAsia="仿宋_GB2312"/>
          <w:sz w:val="32"/>
        </w:rPr>
      </w:pPr>
      <w:r>
        <w:rPr>
          <w:rFonts w:hint="eastAsia" w:eastAsia="仿宋_GB2312"/>
          <w:sz w:val="32"/>
        </w:rPr>
        <w:t>五、政府性基金预算支出表。</w:t>
      </w:r>
    </w:p>
    <w:p>
      <w:pPr>
        <w:keepNext w:val="0"/>
        <w:keepLines w:val="0"/>
        <w:pageBreakBefore w:val="0"/>
        <w:widowControl w:val="0"/>
        <w:kinsoku/>
        <w:wordWrap/>
        <w:overflowPunct/>
        <w:topLinePunct w:val="0"/>
        <w:autoSpaceDE/>
        <w:autoSpaceDN/>
        <w:bidi w:val="0"/>
        <w:adjustRightInd/>
        <w:snapToGrid/>
        <w:spacing w:line="240" w:lineRule="auto"/>
        <w:ind w:left="720" w:leftChars="0" w:right="0" w:rightChars="0" w:hanging="720" w:firstLineChars="0"/>
        <w:jc w:val="both"/>
        <w:textAlignment w:val="auto"/>
        <w:outlineLvl w:val="9"/>
        <w:rPr>
          <w:rFonts w:hint="eastAsia" w:eastAsia="仿宋_GB2312"/>
          <w:sz w:val="32"/>
        </w:rPr>
      </w:pPr>
      <w:r>
        <w:rPr>
          <w:rFonts w:hint="eastAsia" w:eastAsia="仿宋_GB2312"/>
          <w:sz w:val="32"/>
        </w:rPr>
        <w:t>六、政府性基金预算“三公”经费支出表</w:t>
      </w:r>
    </w:p>
    <w:p>
      <w:pPr>
        <w:keepNext w:val="0"/>
        <w:keepLines w:val="0"/>
        <w:pageBreakBefore w:val="0"/>
        <w:widowControl w:val="0"/>
        <w:kinsoku/>
        <w:wordWrap/>
        <w:overflowPunct/>
        <w:topLinePunct w:val="0"/>
        <w:autoSpaceDE/>
        <w:autoSpaceDN/>
        <w:bidi w:val="0"/>
        <w:adjustRightInd/>
        <w:snapToGrid/>
        <w:spacing w:line="240" w:lineRule="auto"/>
        <w:ind w:left="720" w:leftChars="0" w:right="0" w:rightChars="0" w:hanging="720" w:firstLineChars="0"/>
        <w:jc w:val="both"/>
        <w:textAlignment w:val="auto"/>
        <w:outlineLvl w:val="9"/>
        <w:rPr>
          <w:rFonts w:hint="eastAsia" w:eastAsia="仿宋_GB2312"/>
          <w:sz w:val="32"/>
        </w:rPr>
      </w:pPr>
      <w:r>
        <w:rPr>
          <w:rFonts w:hint="eastAsia" w:eastAsia="仿宋_GB2312"/>
          <w:sz w:val="32"/>
        </w:rPr>
        <w:t>七、（单位）收支总表</w:t>
      </w:r>
    </w:p>
    <w:p>
      <w:pPr>
        <w:keepNext w:val="0"/>
        <w:keepLines w:val="0"/>
        <w:pageBreakBefore w:val="0"/>
        <w:widowControl w:val="0"/>
        <w:kinsoku/>
        <w:wordWrap/>
        <w:overflowPunct/>
        <w:topLinePunct w:val="0"/>
        <w:autoSpaceDE/>
        <w:autoSpaceDN/>
        <w:bidi w:val="0"/>
        <w:adjustRightInd/>
        <w:snapToGrid/>
        <w:spacing w:line="240" w:lineRule="auto"/>
        <w:ind w:left="720" w:leftChars="0" w:right="0" w:rightChars="0" w:hanging="720" w:firstLineChars="0"/>
        <w:jc w:val="both"/>
        <w:textAlignment w:val="auto"/>
        <w:outlineLvl w:val="9"/>
        <w:rPr>
          <w:rFonts w:hint="eastAsia" w:eastAsia="仿宋_GB2312"/>
          <w:sz w:val="32"/>
        </w:rPr>
      </w:pPr>
      <w:r>
        <w:rPr>
          <w:rFonts w:hint="eastAsia" w:eastAsia="仿宋_GB2312"/>
          <w:sz w:val="32"/>
        </w:rPr>
        <w:t>八、（单位）收入总表</w:t>
      </w:r>
    </w:p>
    <w:p>
      <w:pPr>
        <w:keepNext w:val="0"/>
        <w:keepLines w:val="0"/>
        <w:pageBreakBefore w:val="0"/>
        <w:widowControl w:val="0"/>
        <w:kinsoku/>
        <w:wordWrap/>
        <w:overflowPunct/>
        <w:topLinePunct w:val="0"/>
        <w:autoSpaceDE/>
        <w:autoSpaceDN/>
        <w:bidi w:val="0"/>
        <w:adjustRightInd/>
        <w:snapToGrid/>
        <w:spacing w:line="240" w:lineRule="auto"/>
        <w:ind w:left="720" w:leftChars="0" w:right="0" w:rightChars="0" w:hanging="720" w:firstLineChars="0"/>
        <w:jc w:val="both"/>
        <w:textAlignment w:val="auto"/>
        <w:outlineLvl w:val="9"/>
        <w:rPr>
          <w:rFonts w:hint="eastAsia" w:eastAsia="仿宋_GB2312"/>
          <w:sz w:val="32"/>
        </w:rPr>
      </w:pPr>
      <w:r>
        <w:rPr>
          <w:rFonts w:hint="eastAsia" w:eastAsia="仿宋_GB2312"/>
          <w:sz w:val="32"/>
        </w:rPr>
        <w:t>九、（单位）支出总表</w:t>
      </w:r>
    </w:p>
    <w:p>
      <w:pPr>
        <w:keepNext w:val="0"/>
        <w:keepLines w:val="0"/>
        <w:pageBreakBefore w:val="0"/>
        <w:widowControl w:val="0"/>
        <w:kinsoku/>
        <w:wordWrap/>
        <w:overflowPunct/>
        <w:topLinePunct w:val="0"/>
        <w:autoSpaceDE/>
        <w:autoSpaceDN/>
        <w:bidi w:val="0"/>
        <w:adjustRightInd/>
        <w:snapToGrid/>
        <w:spacing w:line="240" w:lineRule="auto"/>
        <w:ind w:left="720" w:leftChars="0" w:right="0" w:rightChars="0" w:hanging="720" w:firstLineChars="0"/>
        <w:jc w:val="both"/>
        <w:textAlignment w:val="auto"/>
        <w:outlineLvl w:val="9"/>
        <w:rPr>
          <w:rFonts w:hint="eastAsia" w:eastAsia="仿宋_GB2312"/>
          <w:sz w:val="32"/>
        </w:rPr>
      </w:pPr>
      <w:r>
        <w:rPr>
          <w:rFonts w:hint="eastAsia" w:eastAsia="仿宋_GB2312"/>
          <w:sz w:val="32"/>
        </w:rPr>
        <w:t>十、项目支出绩效信息表</w:t>
      </w:r>
    </w:p>
    <w:p>
      <w:pPr>
        <w:keepNext w:val="0"/>
        <w:keepLines w:val="0"/>
        <w:pageBreakBefore w:val="0"/>
        <w:widowControl w:val="0"/>
        <w:kinsoku/>
        <w:wordWrap/>
        <w:overflowPunct/>
        <w:topLinePunct w:val="0"/>
        <w:autoSpaceDE/>
        <w:autoSpaceDN/>
        <w:bidi w:val="0"/>
        <w:adjustRightInd/>
        <w:snapToGrid/>
        <w:spacing w:line="240" w:lineRule="auto"/>
        <w:ind w:left="720" w:leftChars="0" w:right="0" w:rightChars="0" w:hanging="720" w:firstLine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第三部分  三亚市海棠区藤桥中学2021年 （单位）预算情况说明</w:t>
      </w:r>
    </w:p>
    <w:p>
      <w:pPr>
        <w:pStyle w:val="2"/>
        <w:rPr>
          <w:rFonts w:hint="eastAsia"/>
        </w:rPr>
      </w:pPr>
      <w:r>
        <w:rPr>
          <w:rFonts w:hint="eastAsia"/>
        </w:rPr>
        <w:t>第四部分   名词解释</w:t>
      </w:r>
    </w:p>
    <w:p>
      <w:pPr>
        <w:rPr>
          <w:rFonts w:hint="eastAsia" w:eastAsia="仿宋_GB2312"/>
          <w:sz w:val="32"/>
        </w:rPr>
      </w:pPr>
    </w:p>
    <w:p>
      <w:pPr>
        <w:jc w:val="center"/>
        <w:rPr>
          <w:rFonts w:ascii="黑体" w:hAnsi="ˎ̥" w:eastAsia="黑体"/>
          <w:sz w:val="32"/>
          <w:szCs w:val="32"/>
        </w:rPr>
      </w:pPr>
      <w:r>
        <w:rPr>
          <w:rFonts w:hint="eastAsia"/>
          <w:lang w:val="en-US" w:eastAsia="zh-CN"/>
        </w:rPr>
        <w:t xml:space="preserve">   </w:t>
      </w:r>
      <w:bookmarkStart w:id="0" w:name="_Toc10720_WPSOffice_Level1"/>
      <w:bookmarkStart w:id="1" w:name="_Toc22941_WPSOffice_Level1"/>
      <w:bookmarkStart w:id="2" w:name="_Toc1704_WPSOffice_Level1"/>
      <w:bookmarkStart w:id="3" w:name="_Toc10049_WPSOffice_Level1"/>
      <w:bookmarkStart w:id="4" w:name="_Toc23465_WPSOffice_Level1"/>
      <w:bookmarkStart w:id="5" w:name="_Toc32433_WPSOffice_Level1"/>
      <w:bookmarkStart w:id="6" w:name="_Toc24238_WPSOffice_Level2"/>
      <w:bookmarkStart w:id="7" w:name="_Toc32622_WPSOffice_Level2"/>
      <w:bookmarkStart w:id="8" w:name="_Toc20205_WPSOffice_Level2"/>
      <w:bookmarkStart w:id="9" w:name="_Toc14159_WPSOffice_Level2"/>
      <w:bookmarkStart w:id="10" w:name="_Toc20274_WPSOffice_Level2"/>
      <w:bookmarkStart w:id="11" w:name="_Toc26580_WPSOffice_Level2"/>
      <w:r>
        <w:rPr>
          <w:rFonts w:hint="eastAsia" w:ascii="黑体" w:hAnsi="ˎ̥" w:eastAsia="黑体"/>
          <w:sz w:val="32"/>
          <w:szCs w:val="32"/>
        </w:rPr>
        <w:t>第一部分  三亚市海棠区藤桥中学概况</w:t>
      </w:r>
      <w:bookmarkEnd w:id="0"/>
      <w:bookmarkEnd w:id="1"/>
      <w:bookmarkEnd w:id="2"/>
      <w:bookmarkEnd w:id="3"/>
      <w:bookmarkEnd w:id="4"/>
      <w:bookmarkEnd w:id="5"/>
    </w:p>
    <w:p>
      <w:pPr>
        <w:ind w:firstLine="640" w:firstLineChars="200"/>
        <w:rPr>
          <w:rFonts w:ascii="楷体" w:hAnsi="楷体" w:eastAsia="楷体" w:cs="楷体"/>
          <w:sz w:val="32"/>
          <w:szCs w:val="32"/>
        </w:rPr>
      </w:pPr>
    </w:p>
    <w:p>
      <w:pPr>
        <w:ind w:firstLine="640" w:firstLineChars="200"/>
        <w:rPr>
          <w:rFonts w:ascii="黑体" w:hAnsi="黑体" w:eastAsia="黑体" w:cs="黑体"/>
          <w:sz w:val="32"/>
          <w:szCs w:val="32"/>
        </w:rPr>
      </w:pPr>
      <w:r>
        <w:rPr>
          <w:rFonts w:hint="eastAsia" w:ascii="黑体" w:hAnsi="黑体" w:eastAsia="黑体" w:cs="黑体"/>
          <w:sz w:val="32"/>
          <w:szCs w:val="32"/>
        </w:rPr>
        <w:t>一、</w:t>
      </w:r>
      <w:bookmarkEnd w:id="6"/>
      <w:r>
        <w:rPr>
          <w:rFonts w:hint="eastAsia" w:ascii="黑体" w:hAnsi="黑体" w:eastAsia="黑体" w:cs="黑体"/>
          <w:sz w:val="32"/>
          <w:szCs w:val="32"/>
        </w:rPr>
        <w:t>单位职责</w:t>
      </w:r>
      <w:bookmarkEnd w:id="7"/>
      <w:bookmarkEnd w:id="8"/>
      <w:bookmarkEnd w:id="9"/>
      <w:bookmarkEnd w:id="10"/>
      <w:bookmarkEnd w:id="11"/>
    </w:p>
    <w:p>
      <w:pPr>
        <w:numPr>
          <w:ilvl w:val="0"/>
          <w:numId w:val="0"/>
        </w:numPr>
        <w:ind w:firstLine="0" w:firstLineChars="0"/>
        <w:rPr>
          <w:rFonts w:hint="eastAsia" w:eastAsia="仿宋_GB2312"/>
          <w:sz w:val="32"/>
          <w:lang w:eastAsia="zh-CN"/>
        </w:rPr>
      </w:pPr>
      <w:bookmarkStart w:id="12" w:name="_Toc24059_WPSOffice_Level2"/>
      <w:bookmarkStart w:id="13" w:name="_Toc6572_WPSOffice_Level2"/>
      <w:bookmarkStart w:id="14" w:name="_Toc17796_WPSOffice_Level2"/>
      <w:bookmarkStart w:id="15" w:name="_Toc24474_WPSOffice_Level2"/>
      <w:bookmarkStart w:id="16" w:name="_Toc4833_WPSOffice_Level2"/>
      <w:r>
        <w:rPr>
          <w:rFonts w:hint="eastAsia" w:ascii="黑体" w:hAnsi="黑体" w:eastAsia="黑体" w:cs="黑体"/>
          <w:sz w:val="32"/>
          <w:szCs w:val="32"/>
          <w:lang w:val="en-US" w:eastAsia="zh-CN"/>
        </w:rPr>
        <w:t xml:space="preserve">  </w:t>
      </w:r>
      <w:r>
        <w:rPr>
          <w:rFonts w:hint="eastAsia" w:ascii="仿宋" w:hAnsi="仿宋" w:eastAsia="仿宋" w:cs="仿宋"/>
          <w:sz w:val="32"/>
          <w:szCs w:val="32"/>
          <w:lang w:val="en-US" w:eastAsia="zh-CN"/>
        </w:rPr>
        <w:t>尊重学生的人格尊严和基本权利，尊重学生身心发展的特点和规律，为学生提供健康、丰富的生活和活动环境。合理组织</w:t>
      </w:r>
      <w:r>
        <w:rPr>
          <w:rFonts w:hint="eastAsia" w:ascii="仿宋" w:hAnsi="仿宋" w:eastAsia="仿宋" w:cs="仿宋"/>
          <w:color w:val="auto"/>
          <w:sz w:val="32"/>
          <w:szCs w:val="32"/>
          <w:lang w:val="en-US" w:eastAsia="zh-CN"/>
        </w:rPr>
        <w:t>学生在校日常学习</w:t>
      </w:r>
      <w:r>
        <w:rPr>
          <w:rFonts w:hint="eastAsia" w:ascii="仿宋" w:hAnsi="仿宋" w:eastAsia="仿宋" w:cs="仿宋"/>
          <w:sz w:val="32"/>
          <w:szCs w:val="32"/>
          <w:lang w:val="en-US" w:eastAsia="zh-CN"/>
        </w:rPr>
        <w:t>活动和其他活动，促进其身心和谐发展，全面实施素质教育。</w:t>
      </w:r>
      <w:bookmarkEnd w:id="12"/>
      <w:bookmarkEnd w:id="13"/>
      <w:bookmarkEnd w:id="14"/>
      <w:bookmarkEnd w:id="15"/>
      <w:bookmarkEnd w:id="16"/>
    </w:p>
    <w:p>
      <w:pPr>
        <w:pStyle w:val="2"/>
        <w:rPr>
          <w:rFonts w:hint="eastAsia"/>
        </w:rPr>
      </w:pPr>
      <w:r>
        <w:rPr>
          <w:rFonts w:hint="eastAsia"/>
        </w:rPr>
        <w:t>二、预算单位构成（单位公开没有此部分内容）</w:t>
      </w:r>
    </w:p>
    <w:p>
      <w:pPr>
        <w:ind w:firstLine="640" w:firstLineChars="200"/>
        <w:rPr>
          <w:rFonts w:ascii="仿宋_GB2312" w:hAnsi="ˎ̥" w:eastAsia="仿宋_GB2312"/>
          <w:sz w:val="32"/>
          <w:szCs w:val="32"/>
        </w:rPr>
      </w:pPr>
      <w:r>
        <w:rPr>
          <w:rFonts w:hint="eastAsia" w:ascii="仿宋_GB2312" w:hAnsi="ˎ̥" w:eastAsia="仿宋_GB2312"/>
          <w:sz w:val="32"/>
          <w:szCs w:val="32"/>
        </w:rPr>
        <w:t>三亚市海棠区藤桥中学是基层预算单位，没有下属单位的，单位</w:t>
      </w:r>
      <w:r>
        <w:rPr>
          <w:rFonts w:hint="eastAsia" w:ascii="仿宋_GB2312" w:hAnsi="ˎ̥" w:eastAsia="仿宋_GB2312"/>
          <w:sz w:val="32"/>
          <w:szCs w:val="32"/>
          <w:lang w:eastAsia="zh-CN"/>
        </w:rPr>
        <w:t>无</w:t>
      </w:r>
      <w:r>
        <w:rPr>
          <w:rFonts w:hint="eastAsia" w:ascii="仿宋_GB2312" w:hAnsi="ˎ̥" w:eastAsia="仿宋_GB2312"/>
          <w:sz w:val="32"/>
          <w:szCs w:val="32"/>
        </w:rPr>
        <w:t>内设机构。</w:t>
      </w:r>
    </w:p>
    <w:p>
      <w:pPr>
        <w:pStyle w:val="2"/>
        <w:rPr>
          <w:rFonts w:hint="eastAsia"/>
        </w:rPr>
      </w:pPr>
      <w:r>
        <w:rPr>
          <w:rFonts w:hint="eastAsia"/>
          <w:lang w:val="en-US" w:eastAsia="zh-CN"/>
        </w:rPr>
        <w:t xml:space="preserve">    </w:t>
      </w:r>
      <w:r>
        <w:rPr>
          <w:rFonts w:hint="eastAsia"/>
        </w:rPr>
        <w:t>第二部分  三亚市海棠区</w:t>
      </w:r>
      <w:r>
        <w:rPr>
          <w:rFonts w:hint="eastAsia"/>
          <w:lang w:eastAsia="zh-CN"/>
        </w:rPr>
        <w:t>藤桥中学</w:t>
      </w:r>
      <w:r>
        <w:rPr>
          <w:rFonts w:hint="eastAsia"/>
        </w:rPr>
        <w:t>2021年（单位）预算表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一、财政拨款收支总表（详见附件1）</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二、一般公共预算支出表（详见附件2）</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三、一般公共预算基本支出表（详见附件3）</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四、一般公共预算“三公”经费支出表（详见附件4）</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五、政府性基金预算支出表（详见附件5）</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六、收支总表（详见附件6）</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七、收入总表（详见附件7）</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八、支出总表（详见附件8）</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九、项目支出绩效信息表（详见附件10）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十、省级财力安排的专项转移支付预算表（详见附件11）</w:t>
      </w:r>
    </w:p>
    <w:p>
      <w:pPr>
        <w:pStyle w:val="2"/>
        <w:rPr>
          <w:rFonts w:hint="eastAsia" w:eastAsia="仿宋_GB2312"/>
          <w:sz w:val="32"/>
        </w:rPr>
      </w:pPr>
      <w:r>
        <w:rPr>
          <w:rFonts w:hint="eastAsia"/>
          <w:lang w:val="en-US" w:eastAsia="zh-CN"/>
        </w:rPr>
        <w:t xml:space="preserve">    </w:t>
      </w:r>
      <w:r>
        <w:rPr>
          <w:rFonts w:hint="eastAsia"/>
        </w:rPr>
        <w:t>第三部分 三亚市海棠区</w:t>
      </w:r>
      <w:r>
        <w:rPr>
          <w:rFonts w:hint="eastAsia"/>
          <w:lang w:eastAsia="zh-CN"/>
        </w:rPr>
        <w:t>藤桥中学</w:t>
      </w:r>
      <w:r>
        <w:rPr>
          <w:rFonts w:hint="eastAsia"/>
        </w:rPr>
        <w:t>2021年（单位）预算情况说明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sz w:val="32"/>
        </w:rPr>
      </w:pPr>
      <w:r>
        <w:rPr>
          <w:rFonts w:hint="eastAsia" w:ascii="黑体" w:hAnsi="黑体" w:eastAsia="黑体" w:cs="黑体"/>
          <w:sz w:val="32"/>
        </w:rPr>
        <w:t>一、关于三亚市海棠区</w:t>
      </w:r>
      <w:r>
        <w:rPr>
          <w:rFonts w:hint="eastAsia" w:ascii="黑体" w:hAnsi="黑体" w:eastAsia="黑体" w:cs="黑体"/>
          <w:sz w:val="32"/>
          <w:lang w:eastAsia="zh-CN"/>
        </w:rPr>
        <w:t>藤桥中学</w:t>
      </w:r>
      <w:r>
        <w:rPr>
          <w:rFonts w:hint="eastAsia" w:ascii="黑体" w:hAnsi="黑体" w:eastAsia="黑体" w:cs="黑体"/>
          <w:sz w:val="32"/>
        </w:rPr>
        <w:t>2021年财政拨款收支预算情况的总体说明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三亚市海棠区</w:t>
      </w:r>
      <w:r>
        <w:rPr>
          <w:rFonts w:hint="eastAsia" w:eastAsia="仿宋_GB2312"/>
          <w:sz w:val="32"/>
          <w:lang w:eastAsia="zh-CN"/>
        </w:rPr>
        <w:t>藤桥中学</w:t>
      </w:r>
      <w:r>
        <w:rPr>
          <w:rFonts w:hint="eastAsia" w:eastAsia="仿宋_GB2312"/>
          <w:sz w:val="32"/>
        </w:rPr>
        <w:t>（单位）2021年财政拨款收支总预算</w:t>
      </w:r>
      <w:r>
        <w:rPr>
          <w:rFonts w:hint="eastAsia" w:eastAsia="仿宋_GB2312"/>
          <w:sz w:val="32"/>
          <w:lang w:val="en-US" w:eastAsia="zh-CN"/>
        </w:rPr>
        <w:t>1094.42</w:t>
      </w:r>
      <w:r>
        <w:rPr>
          <w:rFonts w:hint="eastAsia" w:eastAsia="仿宋_GB2312"/>
          <w:sz w:val="32"/>
        </w:rPr>
        <w:t>万元。其中，收入总计</w:t>
      </w:r>
      <w:r>
        <w:rPr>
          <w:rFonts w:hint="eastAsia" w:eastAsia="仿宋_GB2312"/>
          <w:sz w:val="32"/>
          <w:lang w:val="en-US" w:eastAsia="zh-CN"/>
        </w:rPr>
        <w:t>1094.42</w:t>
      </w:r>
      <w:r>
        <w:rPr>
          <w:rFonts w:hint="eastAsia" w:eastAsia="仿宋_GB2312"/>
          <w:sz w:val="32"/>
        </w:rPr>
        <w:t>万元，包括一般公共预算本年收入</w:t>
      </w:r>
      <w:r>
        <w:rPr>
          <w:rFonts w:hint="eastAsia" w:eastAsia="仿宋_GB2312"/>
          <w:sz w:val="32"/>
          <w:lang w:val="en-US" w:eastAsia="zh-CN"/>
        </w:rPr>
        <w:t>1094.42</w:t>
      </w:r>
      <w:r>
        <w:rPr>
          <w:rFonts w:hint="eastAsia" w:eastAsia="仿宋_GB2312"/>
          <w:sz w:val="32"/>
        </w:rPr>
        <w:t>万元、上年结转0万元，政府性基金预算本年收入0万元、上年结转0万元；支出总计</w:t>
      </w:r>
      <w:r>
        <w:rPr>
          <w:rFonts w:hint="eastAsia" w:eastAsia="仿宋_GB2312"/>
          <w:sz w:val="32"/>
          <w:lang w:val="en-US" w:eastAsia="zh-CN"/>
        </w:rPr>
        <w:t>1094.42</w:t>
      </w:r>
      <w:r>
        <w:rPr>
          <w:rFonts w:hint="eastAsia" w:eastAsia="仿宋_GB2312"/>
          <w:sz w:val="32"/>
        </w:rPr>
        <w:t>万元，包括 教育支出</w:t>
      </w:r>
      <w:r>
        <w:rPr>
          <w:rFonts w:hint="eastAsia" w:eastAsia="仿宋_GB2312"/>
          <w:sz w:val="32"/>
          <w:lang w:val="en-US" w:eastAsia="zh-CN"/>
        </w:rPr>
        <w:t>828.34</w:t>
      </w:r>
      <w:r>
        <w:rPr>
          <w:rFonts w:hint="eastAsia" w:eastAsia="仿宋_GB2312"/>
          <w:sz w:val="32"/>
        </w:rPr>
        <w:t>万元、社会保障和就业支出</w:t>
      </w:r>
      <w:r>
        <w:rPr>
          <w:rFonts w:hint="eastAsia" w:eastAsia="仿宋_GB2312"/>
          <w:sz w:val="32"/>
          <w:lang w:val="en-US" w:eastAsia="zh-CN"/>
        </w:rPr>
        <w:t>80.9</w:t>
      </w:r>
      <w:r>
        <w:rPr>
          <w:rFonts w:hint="eastAsia" w:eastAsia="仿宋_GB2312"/>
          <w:sz w:val="32"/>
        </w:rPr>
        <w:t>万元、卫生健康支出</w:t>
      </w:r>
      <w:r>
        <w:rPr>
          <w:rFonts w:hint="eastAsia" w:eastAsia="仿宋_GB2312"/>
          <w:sz w:val="32"/>
          <w:lang w:val="en-US" w:eastAsia="zh-CN"/>
        </w:rPr>
        <w:t>117.21</w:t>
      </w:r>
      <w:r>
        <w:rPr>
          <w:rFonts w:hint="eastAsia" w:eastAsia="仿宋_GB2312"/>
          <w:sz w:val="32"/>
        </w:rPr>
        <w:t>万元、 住房保障支出</w:t>
      </w:r>
      <w:r>
        <w:rPr>
          <w:rFonts w:hint="eastAsia" w:eastAsia="仿宋_GB2312"/>
          <w:sz w:val="32"/>
          <w:lang w:val="en-US" w:eastAsia="zh-CN"/>
        </w:rPr>
        <w:t>67.97</w:t>
      </w:r>
      <w:r>
        <w:rPr>
          <w:rFonts w:hint="eastAsia" w:eastAsia="仿宋_GB2312"/>
          <w:sz w:val="32"/>
        </w:rPr>
        <w:t>万元，结转下年</w:t>
      </w:r>
      <w:r>
        <w:rPr>
          <w:rFonts w:hint="eastAsia" w:eastAsia="仿宋_GB2312"/>
          <w:sz w:val="32"/>
          <w:lang w:val="en-US" w:eastAsia="zh-CN"/>
        </w:rPr>
        <w:t>0</w:t>
      </w:r>
      <w:r>
        <w:rPr>
          <w:rFonts w:hint="eastAsia" w:eastAsia="仿宋_GB2312"/>
          <w:sz w:val="32"/>
        </w:rPr>
        <w:t>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sz w:val="32"/>
        </w:rPr>
      </w:pPr>
      <w:r>
        <w:rPr>
          <w:rFonts w:hint="eastAsia" w:ascii="黑体" w:hAnsi="黑体" w:eastAsia="黑体" w:cs="黑体"/>
          <w:sz w:val="32"/>
        </w:rPr>
        <w:t>二、关于三亚市海棠区</w:t>
      </w:r>
      <w:r>
        <w:rPr>
          <w:rFonts w:hint="eastAsia" w:ascii="黑体" w:hAnsi="黑体" w:eastAsia="黑体" w:cs="黑体"/>
          <w:sz w:val="32"/>
          <w:lang w:eastAsia="zh-CN"/>
        </w:rPr>
        <w:t>藤桥中学</w:t>
      </w:r>
      <w:r>
        <w:rPr>
          <w:rFonts w:hint="eastAsia" w:ascii="黑体" w:hAnsi="黑体" w:eastAsia="黑体" w:cs="黑体"/>
          <w:sz w:val="32"/>
        </w:rPr>
        <w:t>（单位）2021年一般公共预算当年拨款情况说明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（一）一般公共预算当年规模变化情况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三亚市海棠区</w:t>
      </w:r>
      <w:r>
        <w:rPr>
          <w:rFonts w:hint="eastAsia" w:eastAsia="仿宋_GB2312"/>
          <w:sz w:val="32"/>
          <w:lang w:eastAsia="zh-CN"/>
        </w:rPr>
        <w:t>藤桥中学</w:t>
      </w:r>
      <w:r>
        <w:rPr>
          <w:rFonts w:hint="eastAsia" w:eastAsia="仿宋_GB2312"/>
          <w:sz w:val="32"/>
        </w:rPr>
        <w:t>2021年一般公共预算当年拨款</w:t>
      </w:r>
      <w:r>
        <w:rPr>
          <w:rFonts w:hint="eastAsia" w:eastAsia="仿宋_GB2312"/>
          <w:sz w:val="32"/>
          <w:lang w:val="en-US" w:eastAsia="zh-CN"/>
        </w:rPr>
        <w:t>1094.42</w:t>
      </w:r>
      <w:r>
        <w:rPr>
          <w:rFonts w:hint="eastAsia" w:eastAsia="仿宋_GB2312"/>
          <w:sz w:val="32"/>
        </w:rPr>
        <w:t>万元，比上年预算数减少</w:t>
      </w:r>
      <w:r>
        <w:rPr>
          <w:rFonts w:hint="eastAsia" w:eastAsia="仿宋_GB2312"/>
          <w:sz w:val="32"/>
          <w:lang w:val="en-US" w:eastAsia="zh-CN"/>
        </w:rPr>
        <w:t>143.15</w:t>
      </w:r>
      <w:r>
        <w:rPr>
          <w:rFonts w:hint="eastAsia" w:eastAsia="仿宋_GB2312"/>
          <w:sz w:val="32"/>
        </w:rPr>
        <w:t>万元，主要是</w:t>
      </w:r>
      <w:r>
        <w:rPr>
          <w:rFonts w:hint="eastAsia" w:eastAsia="仿宋_GB2312"/>
          <w:sz w:val="32"/>
          <w:lang w:eastAsia="zh-CN"/>
        </w:rPr>
        <w:t>项目减少。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（二）一般公共预算当年拨款结构情况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 教育（类）支出828.34万元，占</w:t>
      </w:r>
      <w:r>
        <w:rPr>
          <w:rFonts w:hint="eastAsia" w:eastAsia="仿宋_GB2312"/>
          <w:sz w:val="32"/>
          <w:lang w:val="en-US" w:eastAsia="zh-CN"/>
        </w:rPr>
        <w:t>75.68</w:t>
      </w:r>
      <w:r>
        <w:rPr>
          <w:rFonts w:hint="eastAsia" w:eastAsia="仿宋_GB2312"/>
          <w:sz w:val="32"/>
        </w:rPr>
        <w:t>%； 社会保障和就业（类）支出80.9万元，占</w:t>
      </w:r>
      <w:r>
        <w:rPr>
          <w:rFonts w:hint="eastAsia" w:eastAsia="仿宋_GB2312"/>
          <w:sz w:val="32"/>
          <w:lang w:val="en-US" w:eastAsia="zh-CN"/>
        </w:rPr>
        <w:t>7.39</w:t>
      </w:r>
      <w:r>
        <w:rPr>
          <w:rFonts w:hint="eastAsia" w:eastAsia="仿宋_GB2312"/>
          <w:sz w:val="32"/>
        </w:rPr>
        <w:t>%；卫生健康（类）支出116.98万元，占</w:t>
      </w:r>
      <w:r>
        <w:rPr>
          <w:rFonts w:hint="eastAsia" w:eastAsia="仿宋_GB2312"/>
          <w:sz w:val="32"/>
          <w:lang w:val="en-US" w:eastAsia="zh-CN"/>
        </w:rPr>
        <w:t>10.7</w:t>
      </w:r>
      <w:r>
        <w:rPr>
          <w:rFonts w:hint="eastAsia" w:eastAsia="仿宋_GB2312"/>
          <w:sz w:val="32"/>
        </w:rPr>
        <w:t>%； 住房保障（类）支出67.97万元，占</w:t>
      </w:r>
      <w:r>
        <w:rPr>
          <w:rFonts w:hint="eastAsia" w:eastAsia="仿宋_GB2312"/>
          <w:sz w:val="32"/>
          <w:lang w:val="en-US" w:eastAsia="zh-CN"/>
        </w:rPr>
        <w:t>6.23</w:t>
      </w:r>
      <w:r>
        <w:rPr>
          <w:rFonts w:hint="eastAsia" w:eastAsia="仿宋_GB2312"/>
          <w:sz w:val="32"/>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（三）一般公共预算当年拨款具体使用情况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1.教育支出（类）普通教育（款）初中教育（项）2021年预算数为828.34万元。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lang w:val="en-US" w:eastAsia="zh-CN"/>
        </w:rPr>
        <w:t>2</w:t>
      </w:r>
      <w:r>
        <w:rPr>
          <w:rFonts w:hint="eastAsia" w:eastAsia="仿宋_GB2312"/>
          <w:sz w:val="32"/>
        </w:rPr>
        <w:t>.社会保障和就业支出（类）行政事业单位养老支出（款）机关事业单位基本养老保险缴费支出（项）2021年预算数为75.62万元。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lang w:val="en-US" w:eastAsia="zh-CN"/>
        </w:rPr>
        <w:t>3.</w:t>
      </w:r>
      <w:r>
        <w:rPr>
          <w:rFonts w:hint="eastAsia" w:eastAsia="仿宋_GB2312"/>
          <w:sz w:val="32"/>
        </w:rPr>
        <w:t>社会保障和就业支出（类）行政事业单位养老支出（款）抚恤（项）2021年预算数为5.28万元。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lang w:val="en-US" w:eastAsia="zh-CN"/>
        </w:rPr>
        <w:t>4</w:t>
      </w:r>
      <w:r>
        <w:rPr>
          <w:rFonts w:hint="eastAsia" w:eastAsia="仿宋_GB2312"/>
          <w:sz w:val="32"/>
        </w:rPr>
        <w:t>.卫生健康支出（类）行政事业单位医疗（款）事业单位医疗（项）2021年预算数为40.17万元。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lang w:val="en-US" w:eastAsia="zh-CN"/>
        </w:rPr>
        <w:t>5</w:t>
      </w:r>
      <w:r>
        <w:rPr>
          <w:rFonts w:hint="eastAsia" w:eastAsia="仿宋_GB2312"/>
          <w:sz w:val="32"/>
        </w:rPr>
        <w:t>.卫生健康支出（类）行政事业单位医疗（款）公务员医疗补助（项）2021年预算数为77.04万元。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lang w:val="en-US" w:eastAsia="zh-CN"/>
        </w:rPr>
        <w:t>6</w:t>
      </w:r>
      <w:r>
        <w:rPr>
          <w:rFonts w:hint="eastAsia" w:eastAsia="仿宋_GB2312"/>
          <w:sz w:val="32"/>
        </w:rPr>
        <w:t>.住房保障支出（类）住房改革支出（款）住房公积金（项）2021年预算数为67.97万元。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ascii="黑体" w:hAnsi="黑体" w:eastAsia="黑体" w:cs="黑体"/>
          <w:sz w:val="32"/>
        </w:rPr>
        <w:t>三、关于三亚市海棠区</w:t>
      </w:r>
      <w:r>
        <w:rPr>
          <w:rFonts w:hint="eastAsia" w:ascii="黑体" w:hAnsi="黑体" w:eastAsia="黑体" w:cs="黑体"/>
          <w:sz w:val="32"/>
          <w:lang w:eastAsia="zh-CN"/>
        </w:rPr>
        <w:t>藤桥中学</w:t>
      </w:r>
      <w:r>
        <w:rPr>
          <w:rFonts w:hint="eastAsia" w:ascii="黑体" w:hAnsi="黑体" w:eastAsia="黑体" w:cs="黑体"/>
          <w:sz w:val="32"/>
        </w:rPr>
        <w:t>（</w:t>
      </w:r>
      <w:r>
        <w:rPr>
          <w:rFonts w:hint="eastAsia" w:ascii="黑体" w:hAnsi="黑体" w:eastAsia="黑体" w:cs="黑体"/>
          <w:sz w:val="32"/>
          <w:lang w:eastAsia="zh-CN"/>
        </w:rPr>
        <w:t>单位</w:t>
      </w:r>
      <w:r>
        <w:rPr>
          <w:rFonts w:hint="eastAsia" w:ascii="黑体" w:hAnsi="黑体" w:eastAsia="黑体" w:cs="黑体"/>
          <w:sz w:val="32"/>
        </w:rPr>
        <w:t>）2021年一般公共预算基本支出情况说明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三亚市海棠区</w:t>
      </w:r>
      <w:r>
        <w:rPr>
          <w:rFonts w:hint="eastAsia" w:eastAsia="仿宋_GB2312"/>
          <w:sz w:val="32"/>
          <w:lang w:eastAsia="zh-CN"/>
        </w:rPr>
        <w:t>藤桥中学</w:t>
      </w:r>
      <w:r>
        <w:rPr>
          <w:rFonts w:hint="eastAsia" w:eastAsia="仿宋_GB2312"/>
          <w:sz w:val="32"/>
        </w:rPr>
        <w:t>2021年一般公共预算基本支出为</w:t>
      </w:r>
      <w:r>
        <w:rPr>
          <w:rFonts w:hint="eastAsia" w:eastAsia="仿宋_GB2312"/>
          <w:sz w:val="32"/>
          <w:lang w:val="en-US" w:eastAsia="zh-CN"/>
        </w:rPr>
        <w:t>1094.42</w:t>
      </w:r>
      <w:r>
        <w:rPr>
          <w:rFonts w:hint="eastAsia" w:eastAsia="仿宋_GB2312"/>
          <w:sz w:val="32"/>
        </w:rPr>
        <w:t>万元，其中：</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人员经费</w:t>
      </w:r>
      <w:r>
        <w:rPr>
          <w:rFonts w:hint="eastAsia" w:eastAsia="仿宋_GB2312"/>
          <w:sz w:val="32"/>
          <w:lang w:val="en-US" w:eastAsia="zh-CN"/>
        </w:rPr>
        <w:t>885.52</w:t>
      </w:r>
      <w:r>
        <w:rPr>
          <w:rFonts w:hint="eastAsia" w:eastAsia="仿宋_GB2312"/>
          <w:sz w:val="32"/>
        </w:rPr>
        <w:t>万元，主要包括：基本工资、津贴补贴、奖金、社会保障缴费;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公用经费</w:t>
      </w:r>
      <w:r>
        <w:rPr>
          <w:rFonts w:hint="eastAsia" w:eastAsia="仿宋_GB2312"/>
          <w:sz w:val="32"/>
          <w:lang w:val="en-US" w:eastAsia="zh-CN"/>
        </w:rPr>
        <w:t>57.33</w:t>
      </w:r>
      <w:r>
        <w:rPr>
          <w:rFonts w:hint="eastAsia" w:eastAsia="仿宋_GB2312"/>
          <w:sz w:val="32"/>
        </w:rPr>
        <w:t>万元，主要包括：办公费、咨询费、手续费、水费、电费。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sz w:val="32"/>
        </w:rPr>
      </w:pPr>
      <w:r>
        <w:rPr>
          <w:rFonts w:hint="eastAsia" w:ascii="黑体" w:hAnsi="黑体" w:eastAsia="黑体" w:cs="黑体"/>
          <w:sz w:val="32"/>
        </w:rPr>
        <w:t>四、三亚市海棠区</w:t>
      </w:r>
      <w:r>
        <w:rPr>
          <w:rFonts w:hint="eastAsia" w:ascii="黑体" w:hAnsi="黑体" w:eastAsia="黑体" w:cs="黑体"/>
          <w:sz w:val="32"/>
          <w:lang w:eastAsia="zh-CN"/>
        </w:rPr>
        <w:t>藤桥中学</w:t>
      </w:r>
      <w:r>
        <w:rPr>
          <w:rFonts w:hint="eastAsia" w:ascii="黑体" w:hAnsi="黑体" w:eastAsia="黑体" w:cs="黑体"/>
          <w:sz w:val="32"/>
        </w:rPr>
        <w:t>（</w:t>
      </w:r>
      <w:r>
        <w:rPr>
          <w:rFonts w:hint="eastAsia" w:ascii="黑体" w:hAnsi="黑体" w:eastAsia="黑体" w:cs="黑体"/>
          <w:sz w:val="32"/>
          <w:lang w:eastAsia="zh-CN"/>
        </w:rPr>
        <w:t>单位</w:t>
      </w:r>
      <w:r>
        <w:rPr>
          <w:rFonts w:hint="eastAsia" w:ascii="黑体" w:hAnsi="黑体" w:eastAsia="黑体" w:cs="黑体"/>
          <w:sz w:val="32"/>
        </w:rPr>
        <w:t>）2021年“三公”经费预算情况说明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（一）三亚市海棠区</w:t>
      </w:r>
      <w:r>
        <w:rPr>
          <w:rFonts w:hint="eastAsia" w:eastAsia="仿宋_GB2312"/>
          <w:sz w:val="32"/>
          <w:lang w:eastAsia="zh-CN"/>
        </w:rPr>
        <w:t>藤桥中学</w:t>
      </w:r>
      <w:r>
        <w:rPr>
          <w:rFonts w:hint="eastAsia" w:eastAsia="仿宋_GB2312"/>
          <w:sz w:val="32"/>
        </w:rPr>
        <w:t>（</w:t>
      </w:r>
      <w:r>
        <w:rPr>
          <w:rFonts w:hint="eastAsia" w:eastAsia="仿宋_GB2312"/>
          <w:sz w:val="32"/>
          <w:lang w:eastAsia="zh-CN"/>
        </w:rPr>
        <w:t>单位</w:t>
      </w:r>
      <w:r>
        <w:rPr>
          <w:rFonts w:hint="eastAsia" w:eastAsia="仿宋_GB2312"/>
          <w:sz w:val="32"/>
        </w:rPr>
        <w:t>）2021年一般公共预算“三公”经费预算数0万元，其中：</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1.因公出国（境）经费0万元，与上年预算持平。主要原因包括：我局未安排此项资金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根据相关政策安排的2020年出国计划，拟安排出国（境）组0次，出国（境）0人。出国（境）团组主要包括：1.团组：目的地为无，人数为0人，天数为0天，主要任务为无。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2.公务用车购置及运行费</w:t>
      </w:r>
      <w:r>
        <w:rPr>
          <w:rFonts w:hint="eastAsia" w:eastAsia="仿宋_GB2312"/>
          <w:sz w:val="32"/>
          <w:lang w:val="en-US" w:eastAsia="zh-CN"/>
        </w:rPr>
        <w:t>0</w:t>
      </w:r>
      <w:r>
        <w:rPr>
          <w:rFonts w:hint="eastAsia" w:eastAsia="仿宋_GB2312"/>
          <w:sz w:val="32"/>
        </w:rPr>
        <w:t>万元（其中，公务用车购置费0万元，公务用车运行费</w:t>
      </w:r>
      <w:r>
        <w:rPr>
          <w:rFonts w:hint="eastAsia" w:eastAsia="仿宋_GB2312"/>
          <w:sz w:val="32"/>
          <w:lang w:val="en-US" w:eastAsia="zh-CN"/>
        </w:rPr>
        <w:t>0</w:t>
      </w:r>
      <w:r>
        <w:rPr>
          <w:rFonts w:hint="eastAsia" w:eastAsia="仿宋_GB2312"/>
          <w:sz w:val="32"/>
        </w:rPr>
        <w:t>万元），与上年预算增加</w:t>
      </w:r>
      <w:r>
        <w:rPr>
          <w:rFonts w:hint="eastAsia" w:eastAsia="仿宋_GB2312"/>
          <w:sz w:val="32"/>
          <w:lang w:val="en-US" w:eastAsia="zh-CN"/>
        </w:rPr>
        <w:t>0</w:t>
      </w:r>
      <w:r>
        <w:rPr>
          <w:rFonts w:hint="eastAsia" w:eastAsia="仿宋_GB2312"/>
          <w:sz w:val="32"/>
        </w:rPr>
        <w:t>万元，主要原因是单位性质安排公务用车运行维护费。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3.公务接待费0万元，与上年预算减少</w:t>
      </w:r>
      <w:r>
        <w:rPr>
          <w:rFonts w:hint="eastAsia" w:eastAsia="仿宋_GB2312"/>
          <w:sz w:val="32"/>
          <w:lang w:val="en-US" w:eastAsia="zh-CN"/>
        </w:rPr>
        <w:t>0</w:t>
      </w:r>
      <w:r>
        <w:rPr>
          <w:rFonts w:hint="eastAsia" w:eastAsia="仿宋_GB2312"/>
          <w:sz w:val="32"/>
        </w:rPr>
        <w:t>万元，主要原因包括：我局未安排此项资金。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（二）海棠区教育（）2021年政府性基金预算“三公”经费预算数为0万元，其中：</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1.因公出国（境）经费0万元，与上年预算持平。主要原因包括：我局未安排此项资金。根据相关政策安排的2021年出国计划，拟安排出国（境）组0次，出国（境）0人。出国（境）团组主要包括：1.团组：目的地为无，人数为0人，天数为0天，主要任务为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2公务用车购置及运行费0万元（其中，公务用车购置费0万元，公务用车运行费0万元），与上年预算持平，原因包括我局未安排此项资金。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公务接待费0万元，与上年预算持平。下主要原因包括：我局未安排此项资金。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ascii="黑体" w:hAnsi="黑体" w:eastAsia="黑体" w:cs="黑体"/>
          <w:sz w:val="32"/>
        </w:rPr>
        <w:t>五、关于三亚市海棠区</w:t>
      </w:r>
      <w:r>
        <w:rPr>
          <w:rFonts w:hint="eastAsia" w:ascii="黑体" w:hAnsi="黑体" w:eastAsia="黑体" w:cs="黑体"/>
          <w:sz w:val="32"/>
          <w:lang w:eastAsia="zh-CN"/>
        </w:rPr>
        <w:t>藤桥中学</w:t>
      </w:r>
      <w:r>
        <w:rPr>
          <w:rFonts w:hint="eastAsia" w:ascii="黑体" w:hAnsi="黑体" w:eastAsia="黑体" w:cs="黑体"/>
          <w:sz w:val="32"/>
        </w:rPr>
        <w:t>（</w:t>
      </w:r>
      <w:r>
        <w:rPr>
          <w:rFonts w:hint="eastAsia" w:ascii="黑体" w:hAnsi="黑体" w:eastAsia="黑体" w:cs="黑体"/>
          <w:sz w:val="32"/>
          <w:lang w:eastAsia="zh-CN"/>
        </w:rPr>
        <w:t>单位</w:t>
      </w:r>
      <w:r>
        <w:rPr>
          <w:rFonts w:hint="eastAsia" w:ascii="黑体" w:hAnsi="黑体" w:eastAsia="黑体" w:cs="黑体"/>
          <w:sz w:val="32"/>
        </w:rPr>
        <w:t>）2021年政府性基金预算当年拨款情况说明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（一）政府性基金预算当年规模变化情况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三亚市海棠区</w:t>
      </w:r>
      <w:r>
        <w:rPr>
          <w:rFonts w:hint="eastAsia" w:eastAsia="仿宋_GB2312"/>
          <w:sz w:val="32"/>
          <w:lang w:eastAsia="zh-CN"/>
        </w:rPr>
        <w:t>藤桥中学</w:t>
      </w:r>
      <w:r>
        <w:rPr>
          <w:rFonts w:hint="eastAsia" w:eastAsia="仿宋_GB2312"/>
          <w:sz w:val="32"/>
        </w:rPr>
        <w:t>（</w:t>
      </w:r>
      <w:r>
        <w:rPr>
          <w:rFonts w:hint="eastAsia" w:eastAsia="仿宋_GB2312"/>
          <w:sz w:val="32"/>
          <w:lang w:eastAsia="zh-CN"/>
        </w:rPr>
        <w:t>单位</w:t>
      </w:r>
      <w:r>
        <w:rPr>
          <w:rFonts w:hint="eastAsia" w:eastAsia="仿宋_GB2312"/>
          <w:sz w:val="32"/>
        </w:rPr>
        <w:t>）2021年政府性基金预算当年拨款0万元。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（二）政府性基金预算当年拨款结构情况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科学技术支出（类）支出0万元，占0%；文化体育与传媒支出（类）支出0万元，占0%；社会保障和就业支出（类）支出0万元，占0%；节能环保（类）支出0万元，占0%。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（三）政府性基金预算当年拨款具体使用情况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1. 科学技术支出（类）核电站乏燃料处理处置基金支出（款）乏燃料运输（项）2021年预算数为0万元。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2. 科学技术支出（类）核电站乏燃料处理处置基金支出（款）乏燃料离堆贮存（项）2021年预算数为0万元。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ascii="黑体" w:hAnsi="黑体" w:eastAsia="黑体" w:cs="黑体"/>
          <w:sz w:val="32"/>
        </w:rPr>
        <w:t>六、关于三亚市海棠区</w:t>
      </w:r>
      <w:r>
        <w:rPr>
          <w:rFonts w:hint="eastAsia" w:ascii="黑体" w:hAnsi="黑体" w:eastAsia="黑体" w:cs="黑体"/>
          <w:sz w:val="32"/>
          <w:lang w:eastAsia="zh-CN"/>
        </w:rPr>
        <w:t>藤桥中学</w:t>
      </w:r>
      <w:r>
        <w:rPr>
          <w:rFonts w:hint="eastAsia" w:ascii="黑体" w:hAnsi="黑体" w:eastAsia="黑体" w:cs="黑体"/>
          <w:sz w:val="32"/>
        </w:rPr>
        <w:t>（</w:t>
      </w:r>
      <w:r>
        <w:rPr>
          <w:rFonts w:hint="eastAsia" w:ascii="黑体" w:hAnsi="黑体" w:eastAsia="黑体" w:cs="黑体"/>
          <w:sz w:val="32"/>
          <w:lang w:eastAsia="zh-CN"/>
        </w:rPr>
        <w:t>单位</w:t>
      </w:r>
      <w:r>
        <w:rPr>
          <w:rFonts w:hint="eastAsia" w:ascii="黑体" w:hAnsi="黑体" w:eastAsia="黑体" w:cs="黑体"/>
          <w:sz w:val="32"/>
        </w:rPr>
        <w:t>）2021年收支预算情况的总体说明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按照综合预算原则，三亚市海棠区</w:t>
      </w:r>
      <w:r>
        <w:rPr>
          <w:rFonts w:hint="eastAsia" w:eastAsia="仿宋_GB2312"/>
          <w:sz w:val="32"/>
          <w:lang w:eastAsia="zh-CN"/>
        </w:rPr>
        <w:t>藤桥中学</w:t>
      </w:r>
      <w:r>
        <w:rPr>
          <w:rFonts w:hint="eastAsia" w:eastAsia="仿宋_GB2312"/>
          <w:sz w:val="32"/>
        </w:rPr>
        <w:t>（</w:t>
      </w:r>
      <w:r>
        <w:rPr>
          <w:rFonts w:hint="eastAsia" w:eastAsia="仿宋_GB2312"/>
          <w:sz w:val="32"/>
          <w:lang w:eastAsia="zh-CN"/>
        </w:rPr>
        <w:t>单位</w:t>
      </w:r>
      <w:r>
        <w:rPr>
          <w:rFonts w:hint="eastAsia" w:eastAsia="仿宋_GB2312"/>
          <w:sz w:val="32"/>
        </w:rPr>
        <w:t>）所有收入和支出均纳入预算管理。收入包括：一般公共预算收入、政府性基金收入、其他财政资金收入、事业收入；支出包括：一般公共服务支出、教育支出。三亚市海棠区</w:t>
      </w:r>
      <w:r>
        <w:rPr>
          <w:rFonts w:hint="eastAsia" w:eastAsia="仿宋_GB2312"/>
          <w:sz w:val="32"/>
          <w:lang w:eastAsia="zh-CN"/>
        </w:rPr>
        <w:t>藤桥中学</w:t>
      </w:r>
      <w:r>
        <w:rPr>
          <w:rFonts w:hint="eastAsia" w:eastAsia="仿宋_GB2312"/>
          <w:sz w:val="32"/>
        </w:rPr>
        <w:t>（</w:t>
      </w:r>
      <w:r>
        <w:rPr>
          <w:rFonts w:hint="eastAsia" w:eastAsia="仿宋_GB2312"/>
          <w:sz w:val="32"/>
          <w:lang w:eastAsia="zh-CN"/>
        </w:rPr>
        <w:t>单位</w:t>
      </w:r>
      <w:r>
        <w:rPr>
          <w:rFonts w:hint="eastAsia" w:eastAsia="仿宋_GB2312"/>
          <w:sz w:val="32"/>
        </w:rPr>
        <w:t>）2021年收支总预算</w:t>
      </w:r>
      <w:r>
        <w:rPr>
          <w:rFonts w:hint="eastAsia" w:eastAsia="仿宋_GB2312"/>
          <w:sz w:val="32"/>
          <w:lang w:val="en-US" w:eastAsia="zh-CN"/>
        </w:rPr>
        <w:t>2188.84</w:t>
      </w:r>
      <w:r>
        <w:rPr>
          <w:rFonts w:hint="eastAsia" w:eastAsia="仿宋_GB2312"/>
          <w:sz w:val="32"/>
        </w:rPr>
        <w:t>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ascii="黑体" w:hAnsi="黑体" w:eastAsia="黑体" w:cs="黑体"/>
          <w:sz w:val="32"/>
        </w:rPr>
        <w:t>七、关于三亚市海棠区</w:t>
      </w:r>
      <w:r>
        <w:rPr>
          <w:rFonts w:hint="eastAsia" w:ascii="黑体" w:hAnsi="黑体" w:eastAsia="黑体" w:cs="黑体"/>
          <w:sz w:val="32"/>
          <w:lang w:eastAsia="zh-CN"/>
        </w:rPr>
        <w:t>藤桥中学</w:t>
      </w:r>
      <w:r>
        <w:rPr>
          <w:rFonts w:hint="eastAsia" w:ascii="黑体" w:hAnsi="黑体" w:eastAsia="黑体" w:cs="黑体"/>
          <w:sz w:val="32"/>
        </w:rPr>
        <w:t>（</w:t>
      </w:r>
      <w:r>
        <w:rPr>
          <w:rFonts w:hint="eastAsia" w:ascii="黑体" w:hAnsi="黑体" w:eastAsia="黑体" w:cs="黑体"/>
          <w:sz w:val="32"/>
          <w:lang w:eastAsia="zh-CN"/>
        </w:rPr>
        <w:t>单位</w:t>
      </w:r>
      <w:r>
        <w:rPr>
          <w:rFonts w:hint="eastAsia" w:ascii="黑体" w:hAnsi="黑体" w:eastAsia="黑体" w:cs="黑体"/>
          <w:sz w:val="32"/>
        </w:rPr>
        <w:t>）2021年收入预算情况说明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三亚市海棠区</w:t>
      </w:r>
      <w:r>
        <w:rPr>
          <w:rFonts w:hint="eastAsia" w:eastAsia="仿宋_GB2312"/>
          <w:sz w:val="32"/>
          <w:lang w:eastAsia="zh-CN"/>
        </w:rPr>
        <w:t>藤桥中学</w:t>
      </w:r>
      <w:r>
        <w:rPr>
          <w:rFonts w:hint="eastAsia" w:eastAsia="仿宋_GB2312"/>
          <w:sz w:val="32"/>
        </w:rPr>
        <w:t>（</w:t>
      </w:r>
      <w:r>
        <w:rPr>
          <w:rFonts w:hint="eastAsia" w:eastAsia="仿宋_GB2312"/>
          <w:sz w:val="32"/>
          <w:lang w:eastAsia="zh-CN"/>
        </w:rPr>
        <w:t>单位</w:t>
      </w:r>
      <w:r>
        <w:rPr>
          <w:rFonts w:hint="eastAsia" w:eastAsia="仿宋_GB2312"/>
          <w:sz w:val="32"/>
        </w:rPr>
        <w:t>）2021年收入预算</w:t>
      </w:r>
      <w:r>
        <w:rPr>
          <w:rFonts w:hint="eastAsia" w:eastAsia="仿宋_GB2312"/>
          <w:sz w:val="32"/>
          <w:lang w:val="en-US" w:eastAsia="zh-CN"/>
        </w:rPr>
        <w:t>1094.42</w:t>
      </w:r>
      <w:r>
        <w:rPr>
          <w:rFonts w:hint="eastAsia" w:eastAsia="仿宋_GB2312"/>
          <w:sz w:val="32"/>
        </w:rPr>
        <w:t>万元，其中：上年结转0万元，占0%；经费拨款收入</w:t>
      </w:r>
      <w:r>
        <w:rPr>
          <w:rFonts w:hint="eastAsia" w:eastAsia="仿宋_GB2312"/>
          <w:sz w:val="32"/>
          <w:lang w:val="en-US" w:eastAsia="zh-CN"/>
        </w:rPr>
        <w:t>1094.42</w:t>
      </w:r>
      <w:r>
        <w:rPr>
          <w:rFonts w:hint="eastAsia" w:eastAsia="仿宋_GB2312"/>
          <w:sz w:val="32"/>
        </w:rPr>
        <w:t>万元，占100%；政府性基金收入0万元，占0%；专项收入0万元，占0%。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sz w:val="32"/>
        </w:rPr>
      </w:pPr>
      <w:r>
        <w:rPr>
          <w:rFonts w:hint="eastAsia" w:ascii="黑体" w:hAnsi="黑体" w:eastAsia="黑体" w:cs="黑体"/>
          <w:sz w:val="32"/>
        </w:rPr>
        <w:t>八、关于三亚市海棠区</w:t>
      </w:r>
      <w:r>
        <w:rPr>
          <w:rFonts w:hint="eastAsia" w:ascii="黑体" w:hAnsi="黑体" w:eastAsia="黑体" w:cs="黑体"/>
          <w:sz w:val="32"/>
          <w:lang w:eastAsia="zh-CN"/>
        </w:rPr>
        <w:t>藤桥中学</w:t>
      </w:r>
      <w:r>
        <w:rPr>
          <w:rFonts w:hint="eastAsia" w:ascii="黑体" w:hAnsi="黑体" w:eastAsia="黑体" w:cs="黑体"/>
          <w:sz w:val="32"/>
        </w:rPr>
        <w:t>（</w:t>
      </w:r>
      <w:r>
        <w:rPr>
          <w:rFonts w:hint="eastAsia" w:ascii="黑体" w:hAnsi="黑体" w:eastAsia="黑体" w:cs="黑体"/>
          <w:sz w:val="32"/>
          <w:lang w:eastAsia="zh-CN"/>
        </w:rPr>
        <w:t>单位</w:t>
      </w:r>
      <w:r>
        <w:rPr>
          <w:rFonts w:hint="eastAsia" w:ascii="黑体" w:hAnsi="黑体" w:eastAsia="黑体" w:cs="黑体"/>
          <w:sz w:val="32"/>
        </w:rPr>
        <w:t>）2021年支出预算情况说明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三亚市海棠区</w:t>
      </w:r>
      <w:r>
        <w:rPr>
          <w:rFonts w:hint="eastAsia" w:eastAsia="仿宋_GB2312"/>
          <w:sz w:val="32"/>
          <w:lang w:eastAsia="zh-CN"/>
        </w:rPr>
        <w:t>藤桥中学</w:t>
      </w:r>
      <w:r>
        <w:rPr>
          <w:rFonts w:hint="eastAsia" w:eastAsia="仿宋_GB2312"/>
          <w:sz w:val="32"/>
        </w:rPr>
        <w:t>2021年支出预算</w:t>
      </w:r>
      <w:r>
        <w:rPr>
          <w:rFonts w:hint="eastAsia" w:eastAsia="仿宋_GB2312"/>
          <w:sz w:val="32"/>
          <w:lang w:val="en-US" w:eastAsia="zh-CN"/>
        </w:rPr>
        <w:t>1094.42</w:t>
      </w:r>
      <w:r>
        <w:rPr>
          <w:rFonts w:hint="eastAsia" w:eastAsia="仿宋_GB2312"/>
          <w:sz w:val="32"/>
        </w:rPr>
        <w:t>万元，其中：基本支出</w:t>
      </w:r>
      <w:r>
        <w:rPr>
          <w:rFonts w:hint="eastAsia" w:eastAsia="仿宋_GB2312"/>
          <w:sz w:val="32"/>
          <w:lang w:val="en-US" w:eastAsia="zh-CN"/>
        </w:rPr>
        <w:t>942.85</w:t>
      </w:r>
      <w:r>
        <w:rPr>
          <w:rFonts w:hint="eastAsia" w:eastAsia="仿宋_GB2312"/>
          <w:sz w:val="32"/>
        </w:rPr>
        <w:t>万元，占</w:t>
      </w:r>
      <w:r>
        <w:rPr>
          <w:rFonts w:hint="eastAsia" w:eastAsia="仿宋_GB2312"/>
          <w:sz w:val="32"/>
          <w:lang w:val="en-US" w:eastAsia="zh-CN"/>
        </w:rPr>
        <w:t>86.15</w:t>
      </w:r>
      <w:r>
        <w:rPr>
          <w:rFonts w:hint="eastAsia" w:eastAsia="仿宋_GB2312"/>
          <w:sz w:val="32"/>
        </w:rPr>
        <w:t>%；项目支出</w:t>
      </w:r>
      <w:r>
        <w:rPr>
          <w:rFonts w:hint="eastAsia" w:eastAsia="仿宋_GB2312"/>
          <w:sz w:val="32"/>
          <w:lang w:val="en-US" w:eastAsia="zh-CN"/>
        </w:rPr>
        <w:t>151.57</w:t>
      </w:r>
      <w:r>
        <w:rPr>
          <w:rFonts w:hint="eastAsia" w:eastAsia="仿宋_GB2312"/>
          <w:sz w:val="32"/>
        </w:rPr>
        <w:t>万元，占</w:t>
      </w:r>
      <w:r>
        <w:rPr>
          <w:rFonts w:hint="eastAsia" w:eastAsia="仿宋_GB2312"/>
          <w:sz w:val="32"/>
          <w:lang w:val="en-US" w:eastAsia="zh-CN"/>
        </w:rPr>
        <w:t>13.85</w:t>
      </w:r>
      <w:r>
        <w:rPr>
          <w:rFonts w:hint="eastAsia" w:eastAsia="仿宋_GB2312"/>
          <w:sz w:val="32"/>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ascii="黑体" w:hAnsi="黑体" w:eastAsia="黑体" w:cs="黑体"/>
          <w:sz w:val="32"/>
        </w:rPr>
        <w:t>九、其他重要事项的情况说明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（一）机关运行经费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2020年三亚市海棠区</w:t>
      </w:r>
      <w:r>
        <w:rPr>
          <w:rFonts w:hint="eastAsia" w:eastAsia="仿宋_GB2312"/>
          <w:sz w:val="32"/>
          <w:lang w:eastAsia="zh-CN"/>
        </w:rPr>
        <w:t>藤桥中学</w:t>
      </w:r>
      <w:r>
        <w:rPr>
          <w:rFonts w:hint="eastAsia" w:eastAsia="仿宋_GB2312"/>
          <w:sz w:val="32"/>
        </w:rPr>
        <w:t>本级机关运行经费预算942.85万元。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（二）政府采购情况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2021年海棠区</w:t>
      </w:r>
      <w:r>
        <w:rPr>
          <w:rFonts w:hint="eastAsia" w:eastAsia="仿宋_GB2312"/>
          <w:sz w:val="32"/>
          <w:lang w:eastAsia="zh-CN"/>
        </w:rPr>
        <w:t>藤桥中学</w:t>
      </w:r>
      <w:r>
        <w:rPr>
          <w:rFonts w:hint="eastAsia" w:eastAsia="仿宋_GB2312"/>
          <w:sz w:val="32"/>
        </w:rPr>
        <w:t>（）本级及下属各预算单位政府采购预算总额0万元，其中：政府采购货物预算0万元，政府采购工程预算0万元，政府采购服务预算0万元。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（三）国有资产占有使用情况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截至2020年12月31日，三亚市海棠区</w:t>
      </w:r>
      <w:r>
        <w:rPr>
          <w:rFonts w:hint="eastAsia" w:eastAsia="仿宋_GB2312"/>
          <w:sz w:val="32"/>
          <w:lang w:eastAsia="zh-CN"/>
        </w:rPr>
        <w:t>藤桥中学</w:t>
      </w:r>
      <w:r>
        <w:rPr>
          <w:rFonts w:hint="eastAsia" w:eastAsia="仿宋_GB2312"/>
          <w:sz w:val="32"/>
        </w:rPr>
        <w:t>（）本级及下属各预算单位共有车辆</w:t>
      </w:r>
      <w:r>
        <w:rPr>
          <w:rFonts w:hint="eastAsia" w:eastAsia="仿宋_GB2312"/>
          <w:sz w:val="32"/>
          <w:lang w:val="en-US" w:eastAsia="zh-CN"/>
        </w:rPr>
        <w:t>0</w:t>
      </w:r>
      <w:r>
        <w:rPr>
          <w:rFonts w:hint="eastAsia" w:eastAsia="仿宋_GB2312"/>
          <w:sz w:val="32"/>
        </w:rPr>
        <w:t>辆，其中，领导干部用车0辆，一般公务用车</w:t>
      </w:r>
      <w:r>
        <w:rPr>
          <w:rFonts w:hint="eastAsia" w:eastAsia="仿宋_GB2312"/>
          <w:sz w:val="32"/>
          <w:lang w:val="en-US" w:eastAsia="zh-CN"/>
        </w:rPr>
        <w:t>0</w:t>
      </w:r>
      <w:r>
        <w:rPr>
          <w:rFonts w:hint="eastAsia" w:eastAsia="仿宋_GB2312"/>
          <w:sz w:val="32"/>
        </w:rPr>
        <w:t>辆、机要通信应急用车0辆、一般执法执勤用车0辆、特种专业技术用车0辆、其他用车0辆。单位价值100万元以上设备0台（套）。</w:t>
      </w:r>
    </w:p>
    <w:p>
      <w:pPr>
        <w:keepNext w:val="0"/>
        <w:keepLines w:val="0"/>
        <w:pageBreakBefore w:val="0"/>
        <w:widowControl w:val="0"/>
        <w:tabs>
          <w:tab w:val="left" w:pos="270"/>
        </w:tabs>
        <w:kinsoku/>
        <w:wordWrap/>
        <w:overflowPunct/>
        <w:topLinePunct w:val="0"/>
        <w:autoSpaceDE/>
        <w:autoSpaceDN/>
        <w:bidi w:val="0"/>
        <w:adjustRightInd/>
        <w:snapToGrid/>
        <w:spacing w:line="240" w:lineRule="auto"/>
        <w:ind w:right="0" w:rightChars="0"/>
        <w:jc w:val="both"/>
        <w:textAlignment w:val="auto"/>
        <w:outlineLvl w:val="9"/>
        <w:rPr>
          <w:rFonts w:hint="eastAsia" w:eastAsia="仿宋_GB2312"/>
          <w:sz w:val="32"/>
        </w:rPr>
      </w:pPr>
      <w:r>
        <w:rPr>
          <w:rFonts w:hint="eastAsia" w:eastAsia="仿宋_GB2312"/>
          <w:sz w:val="32"/>
          <w:lang w:val="en-US" w:eastAsia="zh-CN"/>
        </w:rPr>
        <w:t xml:space="preserve">    </w:t>
      </w:r>
      <w:r>
        <w:rPr>
          <w:rFonts w:hint="eastAsia" w:eastAsia="仿宋_GB2312"/>
          <w:sz w:val="32"/>
        </w:rPr>
        <w:t>（四）绩效目标设置情况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2021年海棠区</w:t>
      </w:r>
      <w:r>
        <w:rPr>
          <w:rFonts w:hint="eastAsia" w:eastAsia="仿宋_GB2312"/>
          <w:sz w:val="32"/>
          <w:lang w:eastAsia="zh-CN"/>
        </w:rPr>
        <w:t>藤桥中学</w:t>
      </w:r>
      <w:r>
        <w:rPr>
          <w:rFonts w:hint="eastAsia" w:eastAsia="仿宋_GB2312"/>
          <w:sz w:val="32"/>
          <w:lang w:val="en-US" w:eastAsia="zh-CN"/>
        </w:rPr>
        <w:t>15</w:t>
      </w:r>
      <w:r>
        <w:rPr>
          <w:rFonts w:hint="eastAsia" w:eastAsia="仿宋_GB2312"/>
          <w:sz w:val="32"/>
        </w:rPr>
        <w:t>个项目实行绩效目标管理，涉及一般公共预算</w:t>
      </w:r>
      <w:r>
        <w:rPr>
          <w:rFonts w:hint="eastAsia" w:eastAsia="仿宋_GB2312"/>
          <w:sz w:val="32"/>
          <w:lang w:val="en-US" w:eastAsia="zh-CN"/>
        </w:rPr>
        <w:t>1075.97</w:t>
      </w:r>
      <w:r>
        <w:rPr>
          <w:rFonts w:hint="eastAsia" w:eastAsia="仿宋_GB2312"/>
          <w:sz w:val="32"/>
        </w:rPr>
        <w:t>万元、政府性基金0万元。</w:t>
      </w:r>
    </w:p>
    <w:p>
      <w:pPr>
        <w:rPr>
          <w:rFonts w:hint="eastAsia" w:eastAsia="仿宋_GB2312"/>
          <w:sz w:val="32"/>
        </w:rPr>
      </w:pPr>
    </w:p>
    <w:p>
      <w:pPr>
        <w:jc w:val="center"/>
        <w:rPr>
          <w:rFonts w:hint="eastAsia" w:eastAsia="仿宋_GB2312"/>
          <w:b/>
          <w:bCs/>
          <w:sz w:val="32"/>
        </w:rPr>
      </w:pPr>
      <w:r>
        <w:rPr>
          <w:rFonts w:hint="eastAsia" w:ascii="黑体" w:hAnsi="黑体" w:eastAsia="黑体" w:cs="黑体"/>
          <w:b/>
          <w:bCs/>
          <w:sz w:val="32"/>
        </w:rPr>
        <w:t>第四部分  名词解释</w:t>
      </w:r>
    </w:p>
    <w:p>
      <w:pPr>
        <w:rPr>
          <w:rFonts w:hint="eastAsia" w:eastAsia="仿宋_GB2312"/>
          <w:sz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一、财政拨款收入：指本级财政当年拨付的资金。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二、事业收入：指事业单位开展专业业务活动及辅助活动取得的收入。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三、经营收入：指事业单位在专业业务活动及其辅助活动之外开展非独立核算经营活动取得的收入。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四、其他收入：指除上述“财政拨款收入”“事业收入”“经营收入”等以外的收入。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五、年初结转和结余：指以前年度尚未完成、结转到本年按有关规定继续使用的资金。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 xml:space="preserve">六、基本支出：指行政事业单位用于为保障其机构正常运转、完成日常工作任务而发生的人员支出和公用支出。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七、工资福利支出：反映单位开支的在职职工和编制外长期聘用人员的各类劳动报酬，以及为上述人员缴纳的各项社会保险费等。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八、对个人和家庭的补助支出：反映政府用于对个人和家庭的补助支出，包括离休费、退休费、退职（役）费、抚恤金、生活补助、救济费、医疗费补助、助学金、独生子女奖励金、其他等。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九、商品和服务支出：反映单位购买商品和服务的支出，包括办公费、水费、电费、邮电费、培训费、公务用车运行维护费、差旅费、因公出国（境）费用、公务接待费、工会经费、会议费、福利费、物业管理费、维修（护）费、其他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十、项目支出：指各、各单位为完成其特定的工作任务和事业发展目标所发生的支出。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eastAsia="仿宋_GB2312"/>
          <w:sz w:val="32"/>
        </w:rPr>
      </w:pPr>
      <w:r>
        <w:rPr>
          <w:rFonts w:hint="eastAsia" w:eastAsia="仿宋_GB2312"/>
          <w:sz w:val="32"/>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eastAsia="仿宋_GB2312"/>
          <w:sz w:val="32"/>
        </w:rPr>
      </w:pPr>
      <w:r>
        <w:rPr>
          <w:rFonts w:hint="eastAsia" w:eastAsia="仿宋_GB2312"/>
          <w:sz w:val="32"/>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 w:name="仿宋_GB2312">
    <w:altName w:val="仿宋"/>
    <w:panose1 w:val="02010609030101010101"/>
    <w:charset w:val="86"/>
    <w:family w:val="swiss"/>
    <w:pitch w:val="default"/>
    <w:sig w:usb0="00000000" w:usb1="00000000" w:usb2="00000000" w:usb3="00000000" w:csb0="00040000" w:csb1="00000000"/>
  </w:font>
  <w:font w:name="楷体">
    <w:panose1 w:val="02010609060101010101"/>
    <w:charset w:val="86"/>
    <w:family w:val="swiss"/>
    <w:pitch w:val="default"/>
    <w:sig w:usb0="800002BF" w:usb1="38CF7CFA" w:usb2="00000016" w:usb3="00000000" w:csb0="00040001" w:csb1="00000000"/>
  </w:font>
  <w:font w:name="仿宋_GB2312">
    <w:altName w:val="仿宋"/>
    <w:panose1 w:val="02010609030101010101"/>
    <w:charset w:val="86"/>
    <w:family w:val="decorative"/>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楷体">
    <w:panose1 w:val="02010609060101010101"/>
    <w:charset w:val="86"/>
    <w:family w:val="roman"/>
    <w:pitch w:val="default"/>
    <w:sig w:usb0="800002BF" w:usb1="38CF7CFA" w:usb2="00000016" w:usb3="00000000" w:csb0="00040001" w:csb1="00000000"/>
  </w:font>
  <w:font w:name="方正超粗黑_GBK">
    <w:altName w:val="黑体"/>
    <w:panose1 w:val="03000509000000000000"/>
    <w:charset w:val="86"/>
    <w:family w:val="auto"/>
    <w:pitch w:val="default"/>
    <w:sig w:usb0="00000000" w:usb1="0000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方正小标宋简体">
    <w:altName w:val="微软雅黑"/>
    <w:panose1 w:val="03000509000000000000"/>
    <w:charset w:val="86"/>
    <w:family w:val="auto"/>
    <w:pitch w:val="default"/>
    <w:sig w:usb0="00000000" w:usb1="00000000" w:usb2="00000000" w:usb3="00000000" w:csb0="00040000" w:csb1="00000000"/>
  </w:font>
  <w:font w:name="微软简标宋">
    <w:altName w:val="宋体"/>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A00002EF" w:usb1="4000207B" w:usb2="00000000" w:usb3="00000000" w:csb0="2000019F" w:csb1="00000000"/>
  </w:font>
  <w:font w:name="黑体">
    <w:panose1 w:val="02010609060101010101"/>
    <w:charset w:val="86"/>
    <w:family w:val="decorative"/>
    <w:pitch w:val="default"/>
    <w:sig w:usb0="800002BF" w:usb1="38CF7CFA" w:usb2="00000016" w:usb3="00000000" w:csb0="00040001" w:csb1="00000000"/>
  </w:font>
  <w:font w:name="ˎ̥">
    <w:altName w:val="Times New Roman"/>
    <w:panose1 w:val="00000000000000000000"/>
    <w:charset w:val="00"/>
    <w:family w:val="swiss"/>
    <w:pitch w:val="default"/>
    <w:sig w:usb0="00000000" w:usb1="00000000" w:usb2="00000000" w:usb3="00000000" w:csb0="00040001" w:csb1="00000000"/>
  </w:font>
  <w:font w:name="仿宋">
    <w:panose1 w:val="02010609060101010101"/>
    <w:charset w:val="86"/>
    <w:family w:val="decorative"/>
    <w:pitch w:val="default"/>
    <w:sig w:usb0="800002BF" w:usb1="38CF7CFA" w:usb2="00000016" w:usb3="00000000" w:csb0="00040001" w:csb1="00000000"/>
  </w:font>
  <w:font w:name="楷体_GB2312">
    <w:altName w:val="楷体"/>
    <w:panose1 w:val="00000000000000000000"/>
    <w:charset w:val="86"/>
    <w:family w:val="decorative"/>
    <w:pitch w:val="default"/>
    <w:sig w:usb0="00000000" w:usb1="00000000" w:usb2="00000000" w:usb3="00000000" w:csb0="00040000" w:csb1="00000000"/>
  </w:font>
  <w:font w:name="楷体_GB2312">
    <w:altName w:val="楷体"/>
    <w:panose1 w:val="02010609030101010101"/>
    <w:charset w:val="86"/>
    <w:family w:val="decorative"/>
    <w:pitch w:val="default"/>
    <w:sig w:usb0="00000000" w:usb1="00000000" w:usb2="00000010" w:usb3="00000000" w:csb0="00040000" w:csb1="00000000"/>
  </w:font>
  <w:font w:name="黑体">
    <w:panose1 w:val="02010609060101010101"/>
    <w:charset w:val="86"/>
    <w:family w:val="roman"/>
    <w:pitch w:val="default"/>
    <w:sig w:usb0="800002BF" w:usb1="38CF7CFA" w:usb2="00000016" w:usb3="00000000" w:csb0="00040001" w:csb1="00000000"/>
  </w:font>
  <w:font w:name="ˎ̥">
    <w:altName w:val="Times New Roman"/>
    <w:panose1 w:val="00000000000000000000"/>
    <w:charset w:val="00"/>
    <w:family w:val="decorative"/>
    <w:pitch w:val="default"/>
    <w:sig w:usb0="00000000" w:usb1="00000000" w:usb2="00000000" w:usb3="00000000" w:csb0="00040001" w:csb1="00000000"/>
  </w:font>
  <w:font w:name="仿宋">
    <w:panose1 w:val="02010609060101010101"/>
    <w:charset w:val="86"/>
    <w:family w:val="roman"/>
    <w:pitch w:val="default"/>
    <w:sig w:usb0="800002BF" w:usb1="38CF7CFA" w:usb2="00000016" w:usb3="00000000" w:csb0="00040001" w:csb1="00000000"/>
  </w:font>
  <w:font w:name="楷体_GB2312">
    <w:altName w:val="楷体"/>
    <w:panose1 w:val="00000000000000000000"/>
    <w:charset w:val="86"/>
    <w:family w:val="roman"/>
    <w:pitch w:val="default"/>
    <w:sig w:usb0="00000000" w:usb1="00000000" w:usb2="00000000" w:usb3="00000000" w:csb0="00040000" w:csb1="00000000"/>
  </w:font>
  <w:font w:name="楷体_GB2312">
    <w:altName w:val="楷体"/>
    <w:panose1 w:val="02010609030101010101"/>
    <w:charset w:val="86"/>
    <w:family w:val="roman"/>
    <w:pitch w:val="default"/>
    <w:sig w:usb0="00000000" w:usb1="00000000" w:usb2="00000010" w:usb3="00000000" w:csb0="00040000" w:csb1="00000000"/>
  </w:font>
  <w:font w:name="黑体">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黑体">
    <w:panose1 w:val="02010609060101010101"/>
    <w:charset w:val="86"/>
    <w:family w:val="swiss"/>
    <w:pitch w:val="default"/>
    <w:sig w:usb0="800002BF" w:usb1="38CF7CFA" w:usb2="00000016" w:usb3="00000000" w:csb0="00040001" w:csb1="00000000"/>
  </w:font>
  <w:font w:name="ˎ̥">
    <w:altName w:val="Times New Roman"/>
    <w:panose1 w:val="00000000000000000000"/>
    <w:charset w:val="00"/>
    <w:family w:val="modern"/>
    <w:pitch w:val="default"/>
    <w:sig w:usb0="00000000" w:usb1="00000000" w:usb2="00000000" w:usb3="00000000" w:csb0="00040001" w:csb1="00000000"/>
  </w:font>
  <w:font w:name="仿宋">
    <w:panose1 w:val="02010609060101010101"/>
    <w:charset w:val="86"/>
    <w:family w:val="swiss"/>
    <w:pitch w:val="default"/>
    <w:sig w:usb0="800002BF" w:usb1="38CF7CFA" w:usb2="00000016" w:usb3="00000000" w:csb0="00040001" w:csb1="00000000"/>
  </w:font>
  <w:font w:name="楷体_GB2312">
    <w:altName w:val="楷体"/>
    <w:panose1 w:val="00000000000000000000"/>
    <w:charset w:val="86"/>
    <w:family w:val="swiss"/>
    <w:pitch w:val="default"/>
    <w:sig w:usb0="00000000" w:usb1="00000000" w:usb2="00000000" w:usb3="00000000" w:csb0="00040000" w:csb1="00000000"/>
  </w:font>
  <w:font w:name="楷体_GB2312">
    <w:altName w:val="楷体"/>
    <w:panose1 w:val="02010609030101010101"/>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6E3251"/>
    <w:rsid w:val="0D052CFA"/>
    <w:rsid w:val="19D818C9"/>
    <w:rsid w:val="383F6B8E"/>
    <w:rsid w:val="3B7D1DE2"/>
    <w:rsid w:val="40E2222A"/>
    <w:rsid w:val="443571AF"/>
    <w:rsid w:val="488C7571"/>
    <w:rsid w:val="48FC2747"/>
    <w:rsid w:val="4A184F79"/>
    <w:rsid w:val="5213446F"/>
    <w:rsid w:val="54046102"/>
    <w:rsid w:val="737A053C"/>
    <w:rsid w:val="7E76321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240" w:lineRule="auto"/>
      <w:ind w:left="1320" w:hanging="1320" w:firstLineChars="0"/>
      <w:outlineLvl w:val="0"/>
    </w:pPr>
    <w:rPr>
      <w:rFonts w:ascii="Calibri" w:hAnsi="Calibri" w:eastAsia="黑体"/>
      <w:kern w:val="44"/>
      <w:sz w:val="32"/>
    </w:rPr>
  </w:style>
  <w:style w:type="paragraph" w:styleId="3">
    <w:name w:val="heading 2"/>
    <w:basedOn w:val="1"/>
    <w:next w:val="1"/>
    <w:unhideWhenUsed/>
    <w:qFormat/>
    <w:uiPriority w:val="0"/>
    <w:pPr>
      <w:keepNext/>
      <w:keepLines/>
      <w:spacing w:before="260" w:beforeLines="0" w:beforeAutospacing="0" w:after="260" w:afterLines="0" w:afterAutospacing="0" w:line="240" w:lineRule="auto"/>
      <w:ind w:left="2664" w:hanging="2664" w:hangingChars="1269"/>
      <w:outlineLvl w:val="1"/>
    </w:pPr>
    <w:rPr>
      <w:rFonts w:ascii="Arial" w:hAnsi="Arial" w:eastAsia="仿宋_GB2312"/>
      <w:sz w:val="32"/>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qFormat/>
    <w:uiPriority w:val="0"/>
    <w:rPr>
      <w:sz w:val="24"/>
    </w:rPr>
  </w:style>
  <w:style w:type="paragraph" w:customStyle="1"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jyj</dc:creator>
  <cp:lastModifiedBy>方海先</cp:lastModifiedBy>
  <dcterms:modified xsi:type="dcterms:W3CDTF">2021-03-14T01:23:15Z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